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contextualSpacing/>
        <w:jc w:val="center"/>
        <w:rPr/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bCs/>
          <w:sz w:val="28"/>
          <w:szCs w:val="28"/>
        </w:rPr>
        <w:t>16 УЗЛОВ НЕВЕДЕНИЯ</w:t>
      </w:r>
    </w:p>
    <w:p>
      <w:pPr>
        <w:pStyle w:val="Normal"/>
        <w:spacing w:lineRule="auto" w:line="240"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hanging="0"/>
        <w:contextualSpacing/>
        <w:rPr/>
      </w:pPr>
      <w:r>
        <w:rPr>
          <w:rFonts w:cs="Times New Roman"/>
          <w:sz w:val="28"/>
          <w:szCs w:val="28"/>
        </w:rPr>
        <w:t xml:space="preserve">ОМ, выражаю почтение Трем 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рагоценностям, путеводной звезде, указующей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уть к совершенству.</w:t>
      </w:r>
    </w:p>
    <w:p>
      <w:pPr>
        <w:pStyle w:val="Osnova"/>
        <w:spacing w:lineRule="auto" w:line="240" w:before="0" w:after="0"/>
        <w:contextualSpacing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«Беспредельное есть великий источник всего.</w:t>
      </w:r>
    </w:p>
    <w:p>
      <w:pPr>
        <w:pStyle w:val="Osnova"/>
        <w:spacing w:lineRule="auto" w:line="240" w:before="0" w:after="0"/>
        <w:contextualSpacing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Все существующее во вселенной есть излучение Беспредельного.</w:t>
      </w:r>
    </w:p>
    <w:p>
      <w:pPr>
        <w:pStyle w:val="Osnova"/>
        <w:spacing w:lineRule="auto" w:line="240" w:before="0" w:after="0"/>
        <w:contextualSpacing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Будучи всем – оно скрывается, играя. Чтобы начать Игру, Беспредельный Дух навеял сны разума своим излучениям.</w:t>
      </w:r>
    </w:p>
    <w:p>
      <w:pPr>
        <w:pStyle w:val="Osnova"/>
        <w:spacing w:lineRule="auto" w:line="240" w:before="0" w:after="0"/>
        <w:contextualSpacing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Странствуя по бесконечному кругу, усыпленные части Беспредельного создают в грезах свой особый мир и свои особые цели и отношения. В грезах они представляют себя отдельными, отличными от других и живущими самостоятельно.</w:t>
      </w:r>
    </w:p>
    <w:p>
      <w:pPr>
        <w:pStyle w:val="Osnova"/>
        <w:spacing w:lineRule="auto" w:line="240" w:before="0" w:after="0"/>
        <w:contextualSpacing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 xml:space="preserve">Истинная цель жизни всех грезящих существ, погруженных в сны разума – насыщать своим осознанием бессознательную часть Беспредельного. Придать излучениям самостоятельность, при этом сохранив их величие и единство с Беспредельным – вот великая цель Игры.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Очнувшись от снов разума, существа покидают безумное странствие по бесконечному кругу, чтобы обрести свободу».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Свами Вишнудевананда Гири «Кодекс Мастера»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Истинный смысл жизни всех существ – повышение уровня осознанности,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росветление и 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свобождение. Такое стремление к чему-то более высокому и совершенному присуще каждому – определенный внутренний поиск, толкающий на совершение различных действий, по сути, и есть наша жизнь – эволюция сознания.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 CYR" w:ascii="Times New Roman CYR" w:hAnsi="Times New Roman CYR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>Такой поиск может быть осознанным, когда личность сама устремляется в путешествие, пытаясь отыскать Истину, или пассивным, когда жизнь подталкивает индивида к открытию новых граней сознания, поскольку весь видимый мир не что иное, как поле для трансформации, знает об этом живое существо или нет.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Такой поиск может быть бесконечно долгим и трудным или прямым и легким, в зависимости от качеств, присущих душе. Не зря ведь говорят: мудрец учится на чужих ошибках, умный – на своих, а глупец – не учится ничему, постоянно наступая на одни и те же грабли. Однако, Вселенная – терпеливая мать. Она будет заботливо предоставлять все новые и новые декорации, чтобы душа, проживая карму и накапливая опыт, смогла, наконец, обрести самосознание.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Большинство джив в своем путешествии от рождения к смерти движутся вслепую, награждаемые то кнутом, то пряником, не имея жизненной цели и определенного маршрута. Даже если какие-то цели ставятся – они часто оказываются ложными, т.к. не выдерживают проверку временем, и, в итоге, не приносят живым существам удовлетворения и подлинного счастья.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Лишь немногие души обладают картой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ути и находят истинную цель жизни. Таких людей называют садху. Садху - это те, кто обрел определенные смыслы, цели и ценности и всю жизнь посвящают садхане – реализации своих идеалов.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Садху обладают прибежищем в Трех 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рагоценностях, и строят свой маршрут согласно карте, дарованной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росветляющей силой. Такая карта – это мудрость и опыт тех, кто успешно завершил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уть и изложил его для последующих поколений. 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Однако опыт прошедших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уть, не является опытом «путешествующей» дживы – как невозможно насытиться за другого, также за другого невозможно проделать его путешествие к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вободе. Поэтому для успешного продвижения душе необходимы определенные качества, главными из которых являются преданность и вера, т.е. способность доверять маршруту (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чению) и проводникам (Мастеру и святым). Такое доверие – это истинные самая и </w:t>
      </w:r>
      <w:r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уру-йога, благодаря которым духовная эволюция становится возможной.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Наш Гуру, Свами Вишнудевананда Гири, подобно великим святым прошлого, открывает путь мудрости своим ученикам посредством наставлений, инициаций и передач, а также лекций, книг и сатсангов. Его 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харма дает нам некие интуитивно-логические схемы, без которых крайне сложно реализовать какую-либо глубину практики. Так, учение о «16 кала» и «7 землях мудрости», о «шраване, манане и нидидхьясане» позволяют сориентироваться в пространстве садханы, выделив главное и отпустив незначительное. Таким ориентиром на духовном пути является также «вивека чинтамани» - учение о 16 узлах неведения и 24 различающих мудростях, которое мне и хотелось бы освятить в данном докладе.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/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Согласно учению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двайты, причиной всех страданий души является неведение (авидья) – отсутствие знаний об абсолютной реальности (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жняны). Следствия такого неведения – омрачение сознания, отождествление с ахамкарой, утрата свободы воли и божественных сил, всевозможные заблуждения, ограничения и несчастья.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Обрести Абсолютное знание, а, вернее, вспомнить его, так как оно изначально присуще дживе – это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окша, истинный смысл жизни каждого существа. Но на пути к такому всеведению и абсолютной свободе лежит много запутанностей и неясностей, кармических хитросплетений и узлов, наставления для устранения которых переданы Гуру в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чении «Вивека Чинтамани». Рассмотрим же подробнее 16 видьягрантх, изложенных в этом учении.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1-ый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зел – ахам-дехасми – отождествление души с физическим телом. Такое отождествление является ошибочным, т.к. тело – лишь «наволочка души», одна из пяти кош – оболочек сознания. Это дар, благодаря которому джива может находиться в определенном мире и взаимодействовать с ним. Все беды происходят из-за слепой веры индивидуального сознания в то, что это тело является самой душой – со всеми вытекающими отсюда последствиями. Развязывание этого узла – 1-й шаг на пути к осознанию истины. 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2-ой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зел – этернализм – субъект-объектное восприятие действительности, когда мир считается отдельным от сознания, чем-то внешним,  независимым от него. Это заблуждение заставляет душу страдать или испытывать удовольствие от соприкосновения с кажущимися внешними объектами, вожделеть их и захватываться ими. Такое восприятие ложно. Мир не является внешним. Он – порождение Сознания, и всегда только им и остается, какие бы паринамы (процессы трансформации) не происходили внутри него.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3-ий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зел — ахамкара-буддхи, является следствием второго, когда субъект («я», индивидуальное сознание) не понимая своей подлинной пустотной и единой со всем природы, считая себя чем-то отдельным и самосущим, пытается утвердиться в этом существовании посредств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м доказательства своего самобытия. Такое самобытие является заблуждением, поскольку, в едином пространстве сознания нет места чему-то отдельному и независимому. Поэтому вера дживы в ложный центр (эго, ахамкару) и забывание своей подлинной сущности (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ат-чит-ананды), смещают восприятие сознания на периферию, отдаляют от истинного центра и обрекают на бесчисленные страдания.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4-ый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зел - картриттва-будхи – это продолжение ошибочного субъект-объектного процесса восприятия. Это такое состояние сознания, когда происходит обуславливание действиями, вместо распознавания их как божественной игры. Хотя процесс действия происходит только в сознании, джива, рассматривая его как что-то внешнее и независимое, начинает захватываться им, привязываться или отвергать те или иные действия, впадая в двойственность и ограничения.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5-ый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зел - линейное восприятие действительности – </w:t>
      </w:r>
      <w:r>
        <w:rPr>
          <w:rFonts w:cs="Times New Roman" w:ascii="Times New Roman" w:hAnsi="Times New Roman"/>
          <w:i/>
          <w:spacing w:val="0"/>
          <w:sz w:val="28"/>
          <w:szCs w:val="28"/>
        </w:rPr>
        <w:t xml:space="preserve">«Это заблуждающееся кармическое видение, обыденное линейное восприятие мира вместо многомерного, </w:t>
      </w:r>
      <w:r>
        <w:rPr>
          <w:rStyle w:val="041804420430043B0438043A"/>
          <w:rFonts w:cs="Times New Roman" w:ascii="Times New Roman" w:hAnsi="Times New Roman"/>
          <w:spacing w:val="0"/>
          <w:sz w:val="28"/>
          <w:szCs w:val="28"/>
        </w:rPr>
        <w:t>неоднозначного</w:t>
      </w:r>
      <w:r>
        <w:rPr>
          <w:rFonts w:cs="Times New Roman" w:ascii="Times New Roman" w:hAnsi="Times New Roman"/>
          <w:i/>
          <w:spacing w:val="0"/>
          <w:sz w:val="28"/>
          <w:szCs w:val="28"/>
        </w:rPr>
        <w:t xml:space="preserve"> (анеканта) видения реальности.</w:t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i/>
          <w:spacing w:val="0"/>
          <w:sz w:val="28"/>
          <w:szCs w:val="28"/>
        </w:rPr>
        <w:t xml:space="preserve">Пребывая в таком видении, мы сильно подвержены влиянию иллюзии, воздействию проецирующей и вуалирующей силы, исходящей из ахамкары. Совершая действия в таком состоянии и привязываясь к их плодам, мы еще больше запутываемся. Такое состояние называется карма-бандхана». </w:t>
      </w:r>
    </w:p>
    <w:p>
      <w:pPr>
        <w:pStyle w:val="Text"/>
        <w:spacing w:lineRule="auto" w:line="240" w:before="0" w:after="28"/>
        <w:ind w:firstLine="567"/>
        <w:contextualSpacing/>
        <w:jc w:val="right"/>
        <w:rPr>
          <w:rFonts w:ascii="Times New Roman" w:hAnsi="Times New Roman" w:cs="Times New Roman"/>
          <w:i/>
          <w:i/>
          <w:spacing w:val="0"/>
          <w:sz w:val="28"/>
          <w:szCs w:val="28"/>
        </w:rPr>
      </w:pPr>
      <w:r>
        <w:rPr>
          <w:rFonts w:cs="Times New Roman" w:ascii="Times New Roman" w:hAnsi="Times New Roman"/>
          <w:i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pacing w:val="0"/>
          <w:sz w:val="28"/>
          <w:szCs w:val="28"/>
        </w:rPr>
        <w:t>Свами Вишнудевананда Гири «Вивека Чинтамани»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6-ой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зел - манаса-дришти есть ложное восприятие действительности посредством двойственных оценок и суждений, выносимых из памяти прошлого опыта, полученных индивидом в этом и предыдущих воплощениях. Такое концептуальное восприятие является ложным, и проистекает из-за ограниченности дуального мышления. Это похоже на то, как если бы человек, различающий лишь два цвета из всей палитры Вселенной, лицезрел проявленный мир в тускло-серых красках, утверждая при этом, что его видение подлинное. Концептуальные оценки – такое же ошибочное видение, ограничивающее процесс восприятия двойственными категориями «плохо-хорошо», «добро-зло», «радость-страдание» вместо прямого переживания многомерной недвойственной реальности.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7-ой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зел - нечистое видение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ашуддха-дришти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происходит из той же обусловленности сознания двойственными категориями «плохо-хорошо», «добро-зло», «черное-белое». Нечистое видение – это продолжение сужения сознания из-за двойственных суждений, с последующим отклонением этих суждений в сторону негатива и омраченного видения. Такое омрачение происходит в силу нераспознавания божественного Источника как корня и основы мироздания и зацикленности индивидуального сознания на себе как центре Вселенной.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Следующие два узла – отсутствие  божественной гордости и отсутствие единого вкуса являются продолжением главной ошибки, присущей сознанию дживы – авидье. Неведение или нераспознавание абсолютной божественности – вот корень всех страданий души. Из-за такого нераспознавания джива: </w:t>
      </w:r>
      <w:r>
        <w:rPr>
          <w:rFonts w:cs="Times New Roman"/>
          <w:sz w:val="28"/>
          <w:szCs w:val="28"/>
        </w:rPr>
        <w:t>во-</w:t>
      </w:r>
      <w:r>
        <w:rPr>
          <w:rFonts w:cs="Times New Roman"/>
          <w:sz w:val="28"/>
          <w:szCs w:val="28"/>
        </w:rPr>
        <w:t>перв</w:t>
      </w:r>
      <w:r>
        <w:rPr>
          <w:rFonts w:cs="Times New Roman"/>
          <w:sz w:val="28"/>
          <w:szCs w:val="28"/>
        </w:rPr>
        <w:t>ых</w:t>
      </w:r>
      <w:r>
        <w:rPr>
          <w:rFonts w:cs="Times New Roman"/>
          <w:sz w:val="28"/>
          <w:szCs w:val="28"/>
        </w:rPr>
        <w:t xml:space="preserve">, не видит этой божественности в себе (поэтому у нее отсутствует божественная гордость); </w:t>
      </w:r>
      <w:r>
        <w:rPr>
          <w:rFonts w:cs="Times New Roman"/>
          <w:sz w:val="28"/>
          <w:szCs w:val="28"/>
        </w:rPr>
        <w:t>во-в</w:t>
      </w:r>
      <w:r>
        <w:rPr>
          <w:rFonts w:cs="Times New Roman"/>
          <w:sz w:val="28"/>
          <w:szCs w:val="28"/>
        </w:rPr>
        <w:t>тор</w:t>
      </w:r>
      <w:r>
        <w:rPr>
          <w:rFonts w:cs="Times New Roman"/>
          <w:sz w:val="28"/>
          <w:szCs w:val="28"/>
        </w:rPr>
        <w:t>ых</w:t>
      </w:r>
      <w:r>
        <w:rPr>
          <w:rFonts w:cs="Times New Roman"/>
          <w:sz w:val="28"/>
          <w:szCs w:val="28"/>
        </w:rPr>
        <w:t xml:space="preserve">,  она не видит божественности во всем (окружающем, происходящем) и всегда старается выбирать благоприятное, в соответствии со своими представлениями о нем, и отвергать то, что, как ей кажется, может нанести вред. Такова двойственность приятия-отвержения, являющаяся причиной отсутствия самарасьи (единого вкуса), ведь единый вкус, как мы знаем, – это полное всеприятие любых явлений во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селенной, рассматриваемых как манифестации различных энергий Божественного.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10-ый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зел - приверженность этернализму или нигилизму проистекает из-за неполного понимая истинной природы Абсолюта, сущность которого –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ат-чит-ананда (бытие, сознание, блаженство), где «сат» относится к пустотной природе, а «чит» и «ананда» – к проявленной. Эти качества являются двумя сторонами одной медали, и только постижение обоих – это подлинная реализация, которую может пережить душа.</w:t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11-ый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зел - тройное нераспознавание пространства – это отсутствие вивеки в распознавании пространства как сущности всего проявленного и непроявленного. Его можно обозначить </w:t>
      </w:r>
      <w:r>
        <w:rPr>
          <w:rFonts w:cs="Times New Roman" w:ascii="Times New Roman" w:hAnsi="Times New Roman"/>
          <w:sz w:val="28"/>
          <w:szCs w:val="28"/>
        </w:rPr>
        <w:t>тре</w:t>
      </w:r>
      <w:r>
        <w:rPr>
          <w:rFonts w:cs="Times New Roman" w:ascii="Times New Roman" w:hAnsi="Times New Roman"/>
          <w:sz w:val="28"/>
          <w:szCs w:val="28"/>
        </w:rPr>
        <w:t xml:space="preserve">мя тезисами, определенными </w:t>
      </w:r>
      <w:r>
        <w:rPr>
          <w:rFonts w:cs="Times New Roman" w:ascii="Times New Roman" w:hAnsi="Times New Roman"/>
          <w:sz w:val="28"/>
          <w:szCs w:val="28"/>
        </w:rPr>
        <w:t>Шри гуру свами Вишнудевананда гири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Text"/>
        <w:spacing w:lineRule="auto" w:line="240" w:before="0" w:after="0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нераспознавание пространства как естественной сущности своего «Я», естественного ума;</w:t>
      </w:r>
    </w:p>
    <w:p>
      <w:pPr>
        <w:pStyle w:val="Text"/>
        <w:spacing w:lineRule="auto" w:line="240" w:before="0" w:after="0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нераспознавание пространства как того, что создается сознанием, и не имеет независимых законов, кроме тех, что установлены сознанием, породившим его; </w:t>
      </w:r>
    </w:p>
    <w:p>
      <w:pPr>
        <w:pStyle w:val="Text"/>
        <w:spacing w:lineRule="auto" w:line="240" w:before="0" w:after="0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нераспознавание пространства как пустой сути всех внешних вещей во Вселенной.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12-ым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злом является узел обусловленного человеческого кармического видения, из-за которого человек собственно и считает себя человеком, живет по законам, обозначенн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м в этом измерении, вместо того, чтобы сознанием пребывать в тысячи мирах одновременно, путешествовать в миллионах галактик, познавая свою бесконечную природу. 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cs="Times New Roman"/>
          <w:sz w:val="28"/>
          <w:szCs w:val="28"/>
        </w:rPr>
        <w:t>13-ый, 14-ый узлы - обусловленность причинно-следственным видением и ложное понимание времени</w:t>
      </w: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являются следствиями все того же нераспознавания истины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двайты, которая гласит: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eastAsia="Calibri" w:cs="Times New Roman"/>
          <w:i/>
          <w:sz w:val="28"/>
          <w:szCs w:val="28"/>
        </w:rPr>
        <w:t>Эта Вселенная – всего лишь долгий сон. Единственная реальность – это бесконечное Сознание</w:t>
      </w:r>
      <w:r>
        <w:rPr>
          <w:rFonts w:cs="Times New Roman"/>
          <w:i/>
          <w:sz w:val="28"/>
          <w:szCs w:val="28"/>
        </w:rPr>
        <w:t>, вездесущее, чистое, спокойное и</w:t>
      </w:r>
      <w:r>
        <w:rPr>
          <w:rFonts w:eastAsia="Calibri" w:cs="Times New Roman"/>
          <w:i/>
          <w:sz w:val="28"/>
          <w:szCs w:val="28"/>
        </w:rPr>
        <w:t xml:space="preserve"> всемогущее</w:t>
      </w:r>
      <w:r>
        <w:rPr>
          <w:rFonts w:cs="Times New Roman"/>
          <w:i/>
          <w:sz w:val="28"/>
          <w:szCs w:val="28"/>
        </w:rPr>
        <w:t>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spacing w:lineRule="auto" w:line="240" w:before="0" w:after="0"/>
        <w:ind w:firstLine="567"/>
        <w:contextualSpacing/>
        <w:jc w:val="right"/>
        <w:rPr/>
      </w:pPr>
      <w:r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>Йога Васиштха»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Согласно аксиомам учения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двайты, изложенным </w:t>
      </w:r>
      <w:r>
        <w:rPr>
          <w:rFonts w:cs="Times New Roman"/>
          <w:sz w:val="28"/>
          <w:szCs w:val="28"/>
        </w:rPr>
        <w:t>Шри гуру свами Вишнудевананда гири</w:t>
      </w:r>
      <w:r>
        <w:rPr>
          <w:rFonts w:cs="Times New Roman"/>
          <w:sz w:val="28"/>
          <w:szCs w:val="28"/>
        </w:rPr>
        <w:t xml:space="preserve"> в «Парасаттарка-логике» можно сказать следующее: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«Время, пространство,… причины и следствия исходят из Единой Сферы Сознания – Всевышнего Источника, осознаваемого йогином как свой собственный ум в его изначальной чистоте.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Йогин вспоминает себя как Исконное пространство сознания 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  <w:i/>
          <w:iCs/>
          <w:sz w:val="28"/>
          <w:szCs w:val="28"/>
        </w:rPr>
        <w:t xml:space="preserve"> Всевышний Источник и в один миг становится им, узнавая себя (Всевышнее Сознание) в нынешнем «я».</w:t>
      </w:r>
      <w:r>
        <w:rPr>
          <w:rFonts w:cs="Times New Roman"/>
          <w:i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Свами Вишнудевананда Гири «Парасаттарка логика»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При понимании и переживании истины о том, что время и закон причинности являются проявлениями сознания, два вышеупомянутых узла развязываются.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>15-ый узел  - ложное видение мира как независимого от сознания</w:t>
      </w:r>
      <w:r>
        <w:rPr>
          <w:rFonts w:cs="Times New Roman"/>
          <w:iCs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16-ый  - ложное ограничение свободы творящей вол», происходят из-за нераспознавания индивидуальным сознанием статуса «Ахам Брахмасми». Вследствие такого нераспознавания, джива не видит мир как проекцию своего сознания, у нее отсутствует воодушевление к творчеству, игре, постижению и воплощению новых смыслов, раскрытию новых уровней ясности-сложности, присущих всем божественным существам. Полностью эти узлы преодолеваются на 16-ой стадии по 16-ти кала, при становлении Брахмой-творцом. 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Таковы «16 узлов неведения», обозначенные нам </w:t>
      </w:r>
      <w:r>
        <w:rPr>
          <w:rFonts w:cs="Times New Roman"/>
          <w:sz w:val="28"/>
          <w:szCs w:val="28"/>
        </w:rPr>
        <w:t>Шри гуру свами Вишнудевананда гири</w:t>
      </w:r>
      <w:r>
        <w:rPr>
          <w:rFonts w:cs="Times New Roman"/>
          <w:sz w:val="28"/>
          <w:szCs w:val="28"/>
        </w:rPr>
        <w:t xml:space="preserve"> как «16 видья-грантх».</w:t>
      </w:r>
      <w:r>
        <w:rPr>
          <w:rFonts w:cs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Однако, одного только теоретического понимания недостаточно для реального 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свобождения. Простое понимание без опыта переживания подобно нарисованному огню, который хоть и «горит» на холсте, однако не согревает по-настоящему. Для устранения 16 узлов неведения существует методы, называемые 24 вивеки.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/>
          <w:i/>
          <w:sz w:val="28"/>
          <w:szCs w:val="28"/>
        </w:rPr>
        <w:t xml:space="preserve">«Бог не находится далеко и не является недоступным. Собственное просветленное сознание есть Бог. Сознание, которому так поклоняются в разных формах, рождение за рождением, отправляет посланника для внутреннего пробуждения и просветления. Этот посланник сознания является мудростью (вивекой)». 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/>
          <w:i/>
          <w:sz w:val="28"/>
          <w:szCs w:val="28"/>
        </w:rPr>
        <w:t>Йога Васиштха</w:t>
      </w:r>
    </w:p>
    <w:p>
      <w:pPr>
        <w:pStyle w:val="041F043E0434043F04380441044C"/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i w:val="false"/>
          <w:spacing w:val="0"/>
          <w:sz w:val="28"/>
          <w:szCs w:val="28"/>
        </w:rPr>
        <w:t xml:space="preserve">В традиции </w:t>
      </w:r>
      <w:r>
        <w:rPr>
          <w:rFonts w:cs="Times New Roman" w:ascii="Times New Roman" w:hAnsi="Times New Roman"/>
          <w:i w:val="false"/>
          <w:spacing w:val="0"/>
          <w:sz w:val="28"/>
          <w:szCs w:val="28"/>
        </w:rPr>
        <w:t>л</w:t>
      </w:r>
      <w:r>
        <w:rPr>
          <w:rFonts w:cs="Times New Roman" w:ascii="Times New Roman" w:hAnsi="Times New Roman"/>
          <w:i w:val="false"/>
          <w:spacing w:val="0"/>
          <w:sz w:val="28"/>
          <w:szCs w:val="28"/>
        </w:rPr>
        <w:t>айя-йоги принцип вивеки не является принципом обычного различения – это способ восприятия мира, при котором в момент соприкосновения с энергией, сознание распознает пустотную природу любого явления и благодаря созерцанию и интеграции, объединяется с ним, извлекая вспышку ясности, углубляет осознавание.</w:t>
      </w:r>
    </w:p>
    <w:p>
      <w:pPr>
        <w:pStyle w:val="041F043E0434043F04380441044C"/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i w:val="false"/>
          <w:spacing w:val="0"/>
          <w:sz w:val="28"/>
          <w:szCs w:val="28"/>
        </w:rPr>
        <w:t xml:space="preserve">Учение о вивеках – практический тест, где каждая из вивек – проверка на получение определенного уровня реализации. Такое «тестирование» помогает оценить уровень своей садханы и позволяет выстроить ее в соответствии с наставлениями  </w:t>
      </w:r>
      <w:r>
        <w:rPr>
          <w:rFonts w:cs="Times New Roman" w:ascii="Times New Roman" w:hAnsi="Times New Roman"/>
          <w:i w:val="false"/>
          <w:spacing w:val="0"/>
          <w:sz w:val="28"/>
          <w:szCs w:val="28"/>
        </w:rPr>
        <w:t>у</w:t>
      </w:r>
      <w:r>
        <w:rPr>
          <w:rFonts w:cs="Times New Roman" w:ascii="Times New Roman" w:hAnsi="Times New Roman"/>
          <w:i w:val="false"/>
          <w:spacing w:val="0"/>
          <w:sz w:val="28"/>
          <w:szCs w:val="28"/>
        </w:rPr>
        <w:t>чителя.</w:t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spacing w:val="0"/>
          <w:sz w:val="28"/>
          <w:szCs w:val="28"/>
        </w:rPr>
        <w:t>Тезисно учение о 24-х вивеках можно представить в виде таблицы.</w:t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i/>
          <w:spacing w:val="0"/>
          <w:sz w:val="28"/>
          <w:szCs w:val="28"/>
        </w:rPr>
        <w:t xml:space="preserve">(Ум понимается здесь как </w:t>
      </w:r>
      <w:r>
        <w:rPr>
          <w:rFonts w:cs="Times New Roman" w:ascii="Times New Roman" w:hAnsi="Times New Roman"/>
          <w:i/>
          <w:spacing w:val="0"/>
          <w:sz w:val="28"/>
          <w:szCs w:val="28"/>
        </w:rPr>
        <w:t>в</w:t>
      </w:r>
      <w:r>
        <w:rPr>
          <w:rFonts w:cs="Times New Roman" w:ascii="Times New Roman" w:hAnsi="Times New Roman"/>
          <w:i/>
          <w:spacing w:val="0"/>
          <w:sz w:val="28"/>
          <w:szCs w:val="28"/>
        </w:rPr>
        <w:t>ысшее «Я», а не понятийный ум или ахамкара).</w:t>
      </w:r>
    </w:p>
    <w:p>
      <w:pPr>
        <w:pStyle w:val="Text"/>
        <w:spacing w:lineRule="auto" w:line="240" w:before="0" w:after="0"/>
        <w:ind w:firstLine="567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Узлы неведения развязываются как с помощью одной, так и с помощью нескольких вивек.</w:t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Например, 1-ый узел </w:t>
      </w:r>
      <w:r>
        <w:rPr>
          <w:rFonts w:ascii="Times New Roman" w:hAnsi="Times New Roman"/>
          <w:spacing w:val="0"/>
          <w:sz w:val="28"/>
          <w:szCs w:val="28"/>
        </w:rPr>
        <w:t xml:space="preserve">– бхава ахам дехасми устраняется 6-й вивекой (Ум не есть 5 кош); 3-ий узел – ахамкара-буддхи распутывается 1-ой, 4-ой и 22-ой вивеками (понимание природы ума как Пустоты, пространства, источника субъекта, объекта и процесса восприятия). Конечно же, приведенная выше «арифметика» довольно условна и может быть дополнена различными взаимосвязями между грантхами и вивеками, не указанными здесь. </w:t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Рассматривая эти категории, мы понимаем, о каких запредельных вершинах говорит учение </w:t>
      </w:r>
      <w:r>
        <w:rPr>
          <w:rFonts w:cs="Times New Roman" w:ascii="Times New Roman" w:hAnsi="Times New Roman"/>
          <w:spacing w:val="0"/>
          <w:sz w:val="28"/>
          <w:szCs w:val="28"/>
        </w:rPr>
        <w:t>л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айя-йоги. Например, </w:t>
      </w:r>
      <w:r>
        <w:rPr>
          <w:rFonts w:cs="Times New Roman" w:ascii="Times New Roman" w:hAnsi="Times New Roman"/>
          <w:spacing w:val="0"/>
          <w:sz w:val="28"/>
          <w:szCs w:val="28"/>
        </w:rPr>
        <w:t>1-я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вивека реализуется на уровне </w:t>
      </w:r>
      <w:r>
        <w:rPr>
          <w:rFonts w:cs="Times New Roman" w:ascii="Times New Roman" w:hAnsi="Times New Roman"/>
          <w:spacing w:val="0"/>
          <w:sz w:val="28"/>
          <w:szCs w:val="28"/>
        </w:rPr>
        <w:t>5-</w:t>
      </w:r>
      <w:r>
        <w:rPr>
          <w:rFonts w:cs="Times New Roman" w:ascii="Times New Roman" w:hAnsi="Times New Roman"/>
          <w:spacing w:val="0"/>
          <w:sz w:val="28"/>
          <w:szCs w:val="28"/>
        </w:rPr>
        <w:t>й дхьяны; принцип светоносности (</w:t>
      </w:r>
      <w:r>
        <w:rPr>
          <w:rFonts w:cs="Times New Roman" w:ascii="Times New Roman" w:hAnsi="Times New Roman"/>
          <w:spacing w:val="0"/>
          <w:sz w:val="28"/>
          <w:szCs w:val="28"/>
        </w:rPr>
        <w:t>12-</w:t>
      </w:r>
      <w:r>
        <w:rPr>
          <w:rFonts w:cs="Times New Roman" w:ascii="Times New Roman" w:hAnsi="Times New Roman"/>
          <w:spacing w:val="0"/>
          <w:sz w:val="28"/>
          <w:szCs w:val="28"/>
        </w:rPr>
        <w:t>я вивека), предполагает реализацию света в самадхи, медитации и во сне без сновидений; принцип недеяния (</w:t>
      </w:r>
      <w:r>
        <w:rPr>
          <w:rFonts w:cs="Times New Roman" w:ascii="Times New Roman" w:hAnsi="Times New Roman"/>
          <w:spacing w:val="0"/>
          <w:sz w:val="28"/>
          <w:szCs w:val="28"/>
        </w:rPr>
        <w:t>17-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я вивека) – это принцип принятия великого решения, т.е. стадия рождения согласно учению «о нарастании луны внутреннего осознавания». Что же касается последних двух вивек – то на этом мистическом уровне реализуется не только растворение сознания (антахкарана-лайя-чинтанам), но и трансформация энергии в радужное тело (панча-бхута-лайя-чинтанам), которая во все времена считалось величайшим достижением духовной практики. </w:t>
      </w:r>
    </w:p>
    <w:p>
      <w:pPr>
        <w:pStyle w:val="Text"/>
        <w:spacing w:lineRule="auto" w:line="240" w:before="0" w:after="0"/>
        <w:ind w:firstLine="567"/>
        <w:contextualSpacing/>
        <w:rPr/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Высшие учения, подобные </w:t>
      </w:r>
      <w:r>
        <w:rPr>
          <w:rFonts w:cs="Times New Roman" w:ascii="Times New Roman" w:hAnsi="Times New Roman"/>
          <w:spacing w:val="0"/>
          <w:sz w:val="28"/>
          <w:szCs w:val="28"/>
        </w:rPr>
        <w:t>л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айя-йоге, сразу открывают перед садху двери в бесконечный мир воззрения </w:t>
      </w:r>
      <w:r>
        <w:rPr>
          <w:rFonts w:cs="Times New Roman" w:ascii="Times New Roman" w:hAnsi="Times New Roman"/>
          <w:spacing w:val="0"/>
          <w:sz w:val="28"/>
          <w:szCs w:val="28"/>
        </w:rPr>
        <w:t>а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двайты, считая нечестным скрывать от практикующего Истину. Однако, незрелый ум может потеряться в этой бесконечности, так и не получив </w:t>
      </w:r>
      <w:r>
        <w:rPr>
          <w:rFonts w:cs="Times New Roman" w:ascii="Times New Roman" w:hAnsi="Times New Roman"/>
          <w:spacing w:val="0"/>
          <w:sz w:val="28"/>
          <w:szCs w:val="28"/>
        </w:rPr>
        <w:t>о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свобождения, т.к. будет пытаться самоосвобождать все, в том числе и свою реализацию. Конечно, с точки зрения воззрения, такой йогин будет действовать разумно, однако, без правильного понимания пути и метода, воззрение может так и остаться только видением. Поэтому, чтобы не дать нам сбиться с пути, </w:t>
      </w:r>
      <w:r>
        <w:rPr>
          <w:rFonts w:cs="Times New Roman" w:ascii="Times New Roman" w:hAnsi="Times New Roman"/>
          <w:spacing w:val="0"/>
          <w:sz w:val="28"/>
          <w:szCs w:val="28"/>
        </w:rPr>
        <w:t>Шри гуру свами Вишнудевананда гири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передает такие учения как «Вивека Чинтамани», которые позволяют йогину прояснить уровень духовной практики, избежать отклонений и мотивировать ум к усердной садхане.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Однако садхана – не есть некий линейный путь, строго заданный предписаниями и правилами шастр.  Садхана – это сама жизнь, путь сердца – интуитивное понимание реальности, ее переживание и осмысление, получение опыта и самоосвобождение его, переживание бхавы и закрепление в ней, самоотдача, самотрансценденция и самоузнавание. Человек есть частичка мироздания, его жизнь, его садхана и он сам  неотделимы от великого Бытия и являются проявлением божественной игры (</w:t>
      </w:r>
      <w:r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 xml:space="preserve">илы). Такое понимание есть путь без пути, великая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двайта, высшее учение 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едвойственности, когда происходит процесс самоосвобождения, самоузнавания и самотрансценденции, возвращение к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стокам, к тому, что за пределами прошлого и будущего, любых изменений и трансформаций, к тому, что присуще нам изначально – нашей подлинной божественной светоносной природе.  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Перед великим учением </w:t>
      </w:r>
      <w:r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айя-йоги, открывающим абсолютную Истину, дарующим полноту реализации, перед просветляющей игрой моего Мастера, Сатгуру Свами Вишнудевананда Гириджи, я преклоняюсь всей своей сущностью и молю лишь о ниспослании божественной Милости для каждого живого существа, дабы закон Риты, божественный замысел Создателя о просветлении всех и каждого смог воплотиться.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ОМ, Да войдут все живые существа во врата высших недвойственных учений и достигнут бескрайнего царства Нирваны.</w:t>
      </w:r>
    </w:p>
    <w:p>
      <w:pPr>
        <w:pStyle w:val="Normal"/>
        <w:spacing w:lineRule="auto" w:line="240" w:before="0" w:after="200"/>
        <w:ind w:firstLine="567"/>
        <w:contextualSpacing/>
        <w:jc w:val="center"/>
        <w:rPr/>
      </w:pPr>
      <w:r>
        <w:rPr>
          <w:rFonts w:cs="Times New Roman"/>
          <w:i/>
          <w:sz w:val="28"/>
          <w:szCs w:val="28"/>
        </w:rPr>
        <w:t>ОМ шанти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cademyC">
    <w:charset w:val="cc"/>
    <w:family w:val="roman"/>
    <w:pitch w:val="variable"/>
  </w:font>
  <w:font w:name="Garamondcond">
    <w:charset w:val="cc"/>
    <w:family w:val="roman"/>
    <w:pitch w:val="variable"/>
  </w:font>
  <w:font w:name="LiteraturnayaC">
    <w:charset w:val="cc"/>
    <w:family w:val="roman"/>
    <w:pitch w:val="variable"/>
  </w:font>
  <w:font w:name="Academy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f15876"/>
    <w:pPr>
      <w:widowControl/>
      <w:suppressAutoHyphens w:val="true"/>
      <w:bidi w:val="0"/>
      <w:spacing w:lineRule="auto" w:line="276" w:before="0" w:after="200"/>
      <w:ind w:firstLine="567"/>
      <w:jc w:val="both"/>
    </w:pPr>
    <w:rPr>
      <w:rFonts w:ascii="Times New Roman" w:hAnsi="Times New Roman" w:eastAsia="Calibri" w:cs="Times New Roman"/>
      <w:color w:val="231F20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41804420430043B0438043A" w:customStyle="1">
    <w:name w:val="&lt;0418&gt;&lt;0442&gt;&lt;0430&gt;&lt;043B&gt;&lt;0438&gt;&lt;043A&gt;"/>
    <w:uiPriority w:val="99"/>
    <w:qFormat/>
    <w:rsid w:val="00a3456c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ext" w:customStyle="1">
    <w:name w:val="text_"/>
    <w:basedOn w:val="Normal"/>
    <w:uiPriority w:val="99"/>
    <w:qFormat/>
    <w:rsid w:val="00a3456c"/>
    <w:pPr>
      <w:spacing w:lineRule="atLeast" w:line="276" w:before="0" w:after="28"/>
      <w:ind w:firstLine="397"/>
      <w:jc w:val="both"/>
      <w:textAlignment w:val="center"/>
    </w:pPr>
    <w:rPr>
      <w:rFonts w:ascii="AcademyC" w:hAnsi="AcademyC" w:eastAsia="Calibri" w:cs="AcademyC"/>
      <w:color w:val="000000"/>
      <w:spacing w:val="-1"/>
      <w:sz w:val="26"/>
      <w:szCs w:val="26"/>
    </w:rPr>
  </w:style>
  <w:style w:type="paragraph" w:styleId="041F043E0434043F04380441044C" w:customStyle="1">
    <w:name w:val="&lt;041F&gt;&lt;043E&gt;&lt;0434&gt;&lt;043F&gt;&lt;0438&gt;&lt;0441&gt;&lt;044C&gt;"/>
    <w:basedOn w:val="Normal"/>
    <w:uiPriority w:val="99"/>
    <w:qFormat/>
    <w:rsid w:val="009c7ddb"/>
    <w:pPr>
      <w:spacing w:lineRule="atLeast" w:line="276" w:before="0" w:after="113"/>
      <w:ind w:left="397" w:firstLine="397"/>
      <w:jc w:val="right"/>
      <w:textAlignment w:val="center"/>
    </w:pPr>
    <w:rPr>
      <w:rFonts w:ascii="Garamondcond" w:hAnsi="Garamondcond" w:eastAsia="Calibri" w:cs="Garamondcond"/>
      <w:i/>
      <w:iCs/>
      <w:color w:val="000000"/>
      <w:spacing w:val="7"/>
      <w:sz w:val="26"/>
      <w:szCs w:val="26"/>
    </w:rPr>
  </w:style>
  <w:style w:type="paragraph" w:styleId="Text1" w:customStyle="1">
    <w:name w:val="text"/>
    <w:basedOn w:val="Normal"/>
    <w:uiPriority w:val="99"/>
    <w:qFormat/>
    <w:rsid w:val="009c7ddb"/>
    <w:pPr>
      <w:spacing w:lineRule="atLeast" w:line="240" w:before="0" w:after="28"/>
      <w:ind w:firstLine="340"/>
      <w:jc w:val="both"/>
      <w:textAlignment w:val="center"/>
    </w:pPr>
    <w:rPr>
      <w:rFonts w:ascii="LiteraturnayaC" w:hAnsi="LiteraturnayaC" w:eastAsia="Calibri" w:cs="LiteraturnayaC"/>
      <w:color w:val="000000"/>
      <w:spacing w:val="-1"/>
    </w:rPr>
  </w:style>
  <w:style w:type="paragraph" w:styleId="Osnova" w:customStyle="1">
    <w:name w:val="osnova"/>
    <w:qFormat/>
    <w:rsid w:val="00aa16d2"/>
    <w:pPr>
      <w:widowControl/>
      <w:bidi w:val="0"/>
      <w:spacing w:lineRule="atLeast" w:line="324" w:before="0" w:after="198"/>
      <w:ind w:firstLine="454"/>
      <w:jc w:val="both"/>
    </w:pPr>
    <w:rPr>
      <w:rFonts w:ascii="Academy" w:hAnsi="Academy" w:eastAsia="Times New Roman" w:cs="Academy"/>
      <w:color w:val="000000"/>
      <w:kern w:val="0"/>
      <w:sz w:val="30"/>
      <w:szCs w:val="3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11280</TotalTime>
  <Application>LibreOffice/6.3.4.2$Windows_X86_64 LibreOffice_project/60da17e045e08f1793c57c00ba83cdfce946d0aa</Application>
  <Pages>6</Pages>
  <Words>2163</Words>
  <Characters>14529</Characters>
  <CharactersWithSpaces>16718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2016-09-01T09:16:00Z</dcterms:created>
  <dc:creator>Пользователь</dc:creator>
  <dc:description/>
  <dc:language>ru-RU</dc:language>
  <cp:lastModifiedBy/>
  <dcterms:modified xsi:type="dcterms:W3CDTF">2021-10-28T19:56:10Z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